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537F" w14:textId="789B5465" w:rsidR="00FC2B58" w:rsidRDefault="00FC2B58" w:rsidP="00FC2B58">
      <w:pPr>
        <w:pStyle w:val="NoSpacing"/>
        <w:jc w:val="center"/>
      </w:pPr>
      <w:r w:rsidRPr="00B1412F">
        <w:rPr>
          <w:b/>
          <w:bCs/>
        </w:rPr>
        <w:t xml:space="preserve">Risk Education: Module </w:t>
      </w:r>
      <w:r w:rsidR="00932375">
        <w:rPr>
          <w:b/>
          <w:bCs/>
        </w:rPr>
        <w:t>7</w:t>
      </w:r>
      <w:r w:rsidRPr="00B1412F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932375">
        <w:rPr>
          <w:b/>
          <w:bCs/>
        </w:rPr>
        <w:t>Mitigation and Adaptation</w:t>
      </w:r>
    </w:p>
    <w:p w14:paraId="6ED81915" w14:textId="77777777" w:rsidR="00FC2B58" w:rsidRPr="0098711A" w:rsidRDefault="00FC2B58" w:rsidP="00FC2B58">
      <w:pPr>
        <w:pStyle w:val="NoSpacing"/>
        <w:rPr>
          <w:i/>
          <w:iCs/>
        </w:rPr>
      </w:pPr>
      <w:r w:rsidRPr="0098711A">
        <w:rPr>
          <w:i/>
          <w:iCs/>
        </w:rPr>
        <w:t>Objectives</w:t>
      </w:r>
    </w:p>
    <w:p w14:paraId="466021E1" w14:textId="5B33853F" w:rsidR="00506A4A" w:rsidRDefault="00595354" w:rsidP="00FC2B58">
      <w:pPr>
        <w:pStyle w:val="NoSpacing"/>
        <w:numPr>
          <w:ilvl w:val="0"/>
          <w:numId w:val="1"/>
        </w:numPr>
      </w:pPr>
      <w:r>
        <w:t>Define terms mitigation and adaptation and other related terms, such as risk tolerance and risk appetite</w:t>
      </w:r>
    </w:p>
    <w:p w14:paraId="6557A04A" w14:textId="527C9724" w:rsidR="00595354" w:rsidRDefault="00595354" w:rsidP="00FC2B58">
      <w:pPr>
        <w:pStyle w:val="NoSpacing"/>
        <w:numPr>
          <w:ilvl w:val="0"/>
          <w:numId w:val="1"/>
        </w:numPr>
      </w:pPr>
      <w:r>
        <w:t xml:space="preserve">Describe common </w:t>
      </w:r>
      <w:r w:rsidR="000A16DB">
        <w:t xml:space="preserve">risk </w:t>
      </w:r>
      <w:r>
        <w:t xml:space="preserve">mitigation </w:t>
      </w:r>
      <w:r w:rsidR="000A16DB">
        <w:t>activities</w:t>
      </w:r>
    </w:p>
    <w:p w14:paraId="0E004C0E" w14:textId="29EC1296" w:rsidR="00595354" w:rsidRDefault="00595354" w:rsidP="00FC2B58">
      <w:pPr>
        <w:pStyle w:val="NoSpacing"/>
        <w:numPr>
          <w:ilvl w:val="0"/>
          <w:numId w:val="1"/>
        </w:numPr>
      </w:pPr>
      <w:r>
        <w:t>Explain the role of insurance policies and provide examples of types of insurance</w:t>
      </w:r>
    </w:p>
    <w:p w14:paraId="6091D26A" w14:textId="6A1D3FFB" w:rsidR="00595354" w:rsidRDefault="00595354" w:rsidP="00FC2B58">
      <w:pPr>
        <w:pStyle w:val="NoSpacing"/>
        <w:numPr>
          <w:ilvl w:val="0"/>
          <w:numId w:val="1"/>
        </w:numPr>
      </w:pPr>
      <w:r>
        <w:t>Provide reasons why people may choose not to invest in mitigation and/or not buy insurance</w:t>
      </w:r>
    </w:p>
    <w:p w14:paraId="7F2C7E5C" w14:textId="0300F8C3" w:rsidR="00595354" w:rsidRDefault="00595354" w:rsidP="00FC2B58">
      <w:pPr>
        <w:pStyle w:val="NoSpacing"/>
        <w:numPr>
          <w:ilvl w:val="0"/>
          <w:numId w:val="1"/>
        </w:numPr>
      </w:pPr>
      <w:r>
        <w:t>Discuss the idea of education as a beneficial form of risk reduction</w:t>
      </w:r>
    </w:p>
    <w:p w14:paraId="7554C76D" w14:textId="77777777" w:rsidR="00FC2B58" w:rsidRDefault="00FC2B58" w:rsidP="00FC2B58">
      <w:pPr>
        <w:pStyle w:val="NoSpacing"/>
        <w:ind w:left="720"/>
      </w:pPr>
    </w:p>
    <w:p w14:paraId="50739170" w14:textId="77777777" w:rsidR="00FC2B58" w:rsidRDefault="00FC2B58" w:rsidP="00FC2B58">
      <w:pPr>
        <w:pStyle w:val="NoSpacing"/>
        <w:rPr>
          <w:i/>
          <w:iCs/>
        </w:rPr>
      </w:pPr>
      <w:r w:rsidRPr="0098711A">
        <w:rPr>
          <w:i/>
          <w:iCs/>
        </w:rPr>
        <w:t>Resources</w:t>
      </w:r>
    </w:p>
    <w:p w14:paraId="49C4FE32" w14:textId="3550BEC6" w:rsidR="00861E25" w:rsidRDefault="00FC2B58" w:rsidP="00861E25">
      <w:pPr>
        <w:pStyle w:val="NoSpacing"/>
        <w:numPr>
          <w:ilvl w:val="0"/>
          <w:numId w:val="1"/>
        </w:numPr>
      </w:pPr>
      <w:r>
        <w:t>PowerPoint Lecture Presentation: “</w:t>
      </w:r>
      <w:r w:rsidR="001B56F6">
        <w:t>Risk Management</w:t>
      </w:r>
      <w:r>
        <w:t>”</w:t>
      </w:r>
    </w:p>
    <w:p w14:paraId="75B388D8" w14:textId="324F5A79" w:rsidR="004A49A2" w:rsidRDefault="004A49A2" w:rsidP="004A49A2">
      <w:pPr>
        <w:pStyle w:val="NoSpacing"/>
        <w:numPr>
          <w:ilvl w:val="1"/>
          <w:numId w:val="1"/>
        </w:numPr>
      </w:pPr>
      <w:r>
        <w:t>Speaker notes contain descriptions of concepts, graphics, and/or examples that are presented on the slides</w:t>
      </w:r>
    </w:p>
    <w:p w14:paraId="0F1E775B" w14:textId="6E6F9571" w:rsidR="00D32C69" w:rsidRDefault="00D32C69" w:rsidP="00861E25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362416">
        <w:rPr>
          <w:rStyle w:val="Hyperlink"/>
          <w:color w:val="auto"/>
          <w:u w:val="none"/>
        </w:rPr>
        <w:t>Video: Integrated Approach to Disaster Risk Management: Prevent, Residual Risk Prepare, Respond, Recover</w:t>
      </w:r>
    </w:p>
    <w:p w14:paraId="78C57B69" w14:textId="2749878A" w:rsidR="00D32C69" w:rsidRPr="00D32C69" w:rsidRDefault="00D32C69" w:rsidP="00D32C69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>
        <w:t>Provides an example of how an unexpected disaster can destabilize a community and explains measures that can be taken pro-actively to reduce risk</w:t>
      </w:r>
    </w:p>
    <w:p w14:paraId="1ED58A7E" w14:textId="47F8ECD9" w:rsidR="00D32C69" w:rsidRDefault="00D32C69" w:rsidP="00D32C69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362416">
        <w:rPr>
          <w:rStyle w:val="Hyperlink"/>
          <w:color w:val="auto"/>
          <w:u w:val="none"/>
        </w:rPr>
        <w:t>TED Talk: From disaster response to disaster prevention</w:t>
      </w:r>
    </w:p>
    <w:p w14:paraId="33A3210B" w14:textId="36C3F76A" w:rsidR="00D32C69" w:rsidRPr="00D32C69" w:rsidRDefault="00D32C69" w:rsidP="00D32C69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>
        <w:t>Differentiates between pro-active and reactive management and shoes the benefits of prevention as opposed to response</w:t>
      </w:r>
    </w:p>
    <w:p w14:paraId="012ED29A" w14:textId="739422E7" w:rsidR="00D32C69" w:rsidRDefault="00D32C69" w:rsidP="00D32C69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362416">
        <w:rPr>
          <w:rStyle w:val="Hyperlink"/>
          <w:color w:val="auto"/>
          <w:u w:val="none"/>
        </w:rPr>
        <w:t xml:space="preserve">TED Talk: Can we build disaster resilient communities? </w:t>
      </w:r>
    </w:p>
    <w:p w14:paraId="150BEE88" w14:textId="34E93549" w:rsidR="00535E67" w:rsidRDefault="00535E67" w:rsidP="00535E67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Provides real-life examples of </w:t>
      </w:r>
      <w:r w:rsidR="00C70288">
        <w:rPr>
          <w:rStyle w:val="Hyperlink"/>
          <w:color w:val="auto"/>
          <w:u w:val="none"/>
        </w:rPr>
        <w:t>resilience in post-disaster areas and makes the case for such resilience to be better utilized/implemented by communities</w:t>
      </w:r>
    </w:p>
    <w:p w14:paraId="426DF360" w14:textId="74890FFB" w:rsidR="00D32C69" w:rsidRDefault="00D32C69" w:rsidP="00D32C69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362416">
        <w:rPr>
          <w:rStyle w:val="Hyperlink"/>
          <w:color w:val="auto"/>
          <w:u w:val="none"/>
        </w:rPr>
        <w:t>TED Talk: Be More Than a Bystander: Preparing Communities for Disaster</w:t>
      </w:r>
    </w:p>
    <w:p w14:paraId="493701D9" w14:textId="220A3A0E" w:rsidR="00535E67" w:rsidRDefault="000A16DB" w:rsidP="00535E67">
      <w:pPr>
        <w:pStyle w:val="NoSpacing"/>
        <w:numPr>
          <w:ilvl w:val="1"/>
          <w:numId w:val="1"/>
        </w:numPr>
      </w:pPr>
      <w:r>
        <w:t>Discusses</w:t>
      </w:r>
      <w:r w:rsidR="00535E67">
        <w:t xml:space="preserve"> the reasons why preparation is key is disaster response and various ways that an individual could become less vulnerable by improving preparation</w:t>
      </w:r>
    </w:p>
    <w:p w14:paraId="1B7721F8" w14:textId="77777777" w:rsidR="00FC2B58" w:rsidRDefault="00FC2B58" w:rsidP="00FC2B58">
      <w:pPr>
        <w:pStyle w:val="NoSpacing"/>
      </w:pPr>
    </w:p>
    <w:p w14:paraId="445EFA90" w14:textId="77777777" w:rsidR="00FC2B58" w:rsidRPr="0098711A" w:rsidRDefault="00FC2B58" w:rsidP="00FC2B58">
      <w:pPr>
        <w:pStyle w:val="NoSpacing"/>
        <w:rPr>
          <w:i/>
          <w:iCs/>
        </w:rPr>
      </w:pPr>
      <w:r w:rsidRPr="0098711A">
        <w:rPr>
          <w:i/>
          <w:iCs/>
        </w:rPr>
        <w:t>Discussion</w:t>
      </w:r>
      <w:r>
        <w:rPr>
          <w:i/>
          <w:iCs/>
        </w:rPr>
        <w:t xml:space="preserve"> Topics and Activities</w:t>
      </w:r>
    </w:p>
    <w:p w14:paraId="1BE628C0" w14:textId="0F4F19B2" w:rsidR="000A16DB" w:rsidRDefault="000A16DB" w:rsidP="00C70288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Ask the class if they wear seat belts – why or why not? Discuss how wearing a seat belt can be a risk mitigative activity.</w:t>
      </w:r>
    </w:p>
    <w:p w14:paraId="6899815A" w14:textId="7777E378" w:rsidR="000A16DB" w:rsidRPr="000A16DB" w:rsidRDefault="000A16DB" w:rsidP="000A16DB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 w:rsidRPr="000A16DB">
        <w:rPr>
          <w:rStyle w:val="Hyperlink"/>
          <w:color w:val="auto"/>
          <w:u w:val="none"/>
        </w:rPr>
        <w:t xml:space="preserve">Ask the class if they wear helmets, gloves, </w:t>
      </w:r>
      <w:r>
        <w:rPr>
          <w:rStyle w:val="Hyperlink"/>
          <w:color w:val="auto"/>
          <w:u w:val="none"/>
        </w:rPr>
        <w:t>or</w:t>
      </w:r>
      <w:r w:rsidRPr="000A16DB">
        <w:rPr>
          <w:rStyle w:val="Hyperlink"/>
          <w:color w:val="auto"/>
          <w:u w:val="none"/>
        </w:rPr>
        <w:t xml:space="preserve"> other safety gear when </w:t>
      </w:r>
      <w:r>
        <w:rPr>
          <w:rStyle w:val="Hyperlink"/>
          <w:color w:val="auto"/>
          <w:u w:val="none"/>
        </w:rPr>
        <w:t xml:space="preserve">they </w:t>
      </w:r>
      <w:r w:rsidRPr="000A16DB">
        <w:rPr>
          <w:rStyle w:val="Hyperlink"/>
          <w:color w:val="auto"/>
          <w:u w:val="none"/>
        </w:rPr>
        <w:t>rid</w:t>
      </w:r>
      <w:r>
        <w:rPr>
          <w:rStyle w:val="Hyperlink"/>
          <w:color w:val="auto"/>
          <w:u w:val="none"/>
        </w:rPr>
        <w:t>e</w:t>
      </w:r>
      <w:r w:rsidRPr="000A16DB">
        <w:rPr>
          <w:rStyle w:val="Hyperlink"/>
          <w:color w:val="auto"/>
          <w:u w:val="none"/>
        </w:rPr>
        <w:t xml:space="preserve"> bikes</w:t>
      </w:r>
      <w:r>
        <w:rPr>
          <w:rStyle w:val="Hyperlink"/>
          <w:color w:val="auto"/>
          <w:u w:val="none"/>
        </w:rPr>
        <w:t xml:space="preserve"> or use tools. Similarly, ask the class if they wear</w:t>
      </w:r>
      <w:r w:rsidRPr="000A16DB">
        <w:rPr>
          <w:rStyle w:val="Hyperlink"/>
          <w:color w:val="auto"/>
          <w:u w:val="none"/>
        </w:rPr>
        <w:t xml:space="preserve"> oven mit</w:t>
      </w:r>
      <w:r>
        <w:rPr>
          <w:rStyle w:val="Hyperlink"/>
          <w:color w:val="auto"/>
          <w:u w:val="none"/>
        </w:rPr>
        <w:t>ts</w:t>
      </w:r>
      <w:r w:rsidRPr="000A16DB">
        <w:rPr>
          <w:rStyle w:val="Hyperlink"/>
          <w:color w:val="auto"/>
          <w:u w:val="none"/>
        </w:rPr>
        <w:t xml:space="preserve"> to handle hot dishes. </w:t>
      </w:r>
      <w:r>
        <w:rPr>
          <w:rStyle w:val="Hyperlink"/>
          <w:color w:val="auto"/>
          <w:u w:val="none"/>
        </w:rPr>
        <w:t>Discuss</w:t>
      </w:r>
      <w:r w:rsidRPr="000A16DB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how</w:t>
      </w:r>
      <w:r w:rsidRPr="000A16DB">
        <w:rPr>
          <w:rStyle w:val="Hyperlink"/>
          <w:color w:val="auto"/>
          <w:u w:val="none"/>
        </w:rPr>
        <w:t xml:space="preserve"> these are</w:t>
      </w:r>
      <w:r>
        <w:rPr>
          <w:rStyle w:val="Hyperlink"/>
          <w:color w:val="auto"/>
          <w:u w:val="none"/>
        </w:rPr>
        <w:t xml:space="preserve"> </w:t>
      </w:r>
      <w:r w:rsidRPr="000A16DB">
        <w:rPr>
          <w:rStyle w:val="Hyperlink"/>
          <w:color w:val="auto"/>
          <w:u w:val="none"/>
        </w:rPr>
        <w:t xml:space="preserve">also mitigation activities </w:t>
      </w:r>
      <w:r>
        <w:rPr>
          <w:rStyle w:val="Hyperlink"/>
          <w:color w:val="auto"/>
          <w:u w:val="none"/>
        </w:rPr>
        <w:t>that can</w:t>
      </w:r>
      <w:r w:rsidRPr="000A16DB">
        <w:rPr>
          <w:rStyle w:val="Hyperlink"/>
          <w:color w:val="auto"/>
          <w:u w:val="none"/>
        </w:rPr>
        <w:t xml:space="preserve"> reduce the risk of personal harm</w:t>
      </w:r>
      <w:r>
        <w:rPr>
          <w:rStyle w:val="Hyperlink"/>
          <w:color w:val="auto"/>
          <w:u w:val="none"/>
        </w:rPr>
        <w:t xml:space="preserve"> in people’s daily lives</w:t>
      </w:r>
      <w:r w:rsidRPr="000A16DB">
        <w:rPr>
          <w:rStyle w:val="Hyperlink"/>
          <w:color w:val="auto"/>
          <w:u w:val="none"/>
        </w:rPr>
        <w:t>.</w:t>
      </w:r>
    </w:p>
    <w:p w14:paraId="7A03BFE7" w14:textId="7C3E9D53" w:rsidR="00362416" w:rsidRDefault="00C70288" w:rsidP="00C70288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Ask the class what they know about insurance (what it is, </w:t>
      </w:r>
      <w:r w:rsidR="00C50634">
        <w:rPr>
          <w:rStyle w:val="Hyperlink"/>
          <w:color w:val="auto"/>
          <w:u w:val="none"/>
        </w:rPr>
        <w:t xml:space="preserve">how it works, </w:t>
      </w:r>
      <w:r>
        <w:rPr>
          <w:rStyle w:val="Hyperlink"/>
          <w:color w:val="auto"/>
          <w:u w:val="none"/>
        </w:rPr>
        <w:t>the different types, how it relates to unplanned events, etc.)</w:t>
      </w:r>
    </w:p>
    <w:p w14:paraId="2FD173CB" w14:textId="215638C5" w:rsidR="00C70288" w:rsidRDefault="00C70288" w:rsidP="00C70288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Ask students in the class (or have them discuss in smaller groups) why they believe expensive, safety-enhancing projects are (or are not) worth it (as taken by the government and by smaller groups, such as a community or a family)</w:t>
      </w:r>
      <w:r w:rsidR="00C50634">
        <w:rPr>
          <w:rStyle w:val="Hyperlink"/>
          <w:color w:val="auto"/>
          <w:u w:val="none"/>
        </w:rPr>
        <w:t xml:space="preserve">. </w:t>
      </w:r>
      <w:r w:rsidR="006A3CD9">
        <w:rPr>
          <w:rStyle w:val="Hyperlink"/>
          <w:color w:val="auto"/>
          <w:u w:val="none"/>
        </w:rPr>
        <w:t xml:space="preserve">For example, should </w:t>
      </w:r>
      <w:r w:rsidR="00C50634">
        <w:rPr>
          <w:rStyle w:val="Hyperlink"/>
          <w:color w:val="auto"/>
          <w:u w:val="none"/>
        </w:rPr>
        <w:t xml:space="preserve">flood walls or levees </w:t>
      </w:r>
      <w:r w:rsidR="006A3CD9">
        <w:rPr>
          <w:rStyle w:val="Hyperlink"/>
          <w:color w:val="auto"/>
          <w:u w:val="none"/>
        </w:rPr>
        <w:t xml:space="preserve">be built </w:t>
      </w:r>
      <w:r w:rsidR="00C50634">
        <w:rPr>
          <w:rStyle w:val="Hyperlink"/>
          <w:color w:val="auto"/>
          <w:u w:val="none"/>
        </w:rPr>
        <w:t>to reduce flood risk</w:t>
      </w:r>
      <w:r w:rsidR="006A3CD9">
        <w:rPr>
          <w:rStyle w:val="Hyperlink"/>
          <w:color w:val="auto"/>
          <w:u w:val="none"/>
        </w:rPr>
        <w:t xml:space="preserve"> – why or why not? What are the pros and cons?</w:t>
      </w:r>
    </w:p>
    <w:p w14:paraId="54928F4D" w14:textId="464256C4" w:rsidR="00C70288" w:rsidRDefault="00C70288" w:rsidP="00C70288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with students whether or not they believe learning about risk is beneficial</w:t>
      </w:r>
    </w:p>
    <w:p w14:paraId="01C03326" w14:textId="77777777" w:rsidR="00D32C69" w:rsidRPr="0054216A" w:rsidRDefault="00D32C69" w:rsidP="00FC2B58">
      <w:pPr>
        <w:pStyle w:val="NoSpacing"/>
        <w:rPr>
          <w:rStyle w:val="Hyperlink"/>
          <w:color w:val="auto"/>
          <w:u w:val="none"/>
        </w:rPr>
      </w:pPr>
    </w:p>
    <w:p w14:paraId="357D1F38" w14:textId="0B1C751D" w:rsidR="00FC2B58" w:rsidRPr="00C70288" w:rsidRDefault="00C70288" w:rsidP="00FC2B58">
      <w:pPr>
        <w:pStyle w:val="NoSpacing"/>
        <w:rPr>
          <w:rStyle w:val="Hyperlink"/>
          <w:color w:val="auto"/>
          <w:u w:val="none"/>
        </w:rPr>
      </w:pPr>
      <w:r>
        <w:rPr>
          <w:i/>
          <w:iCs/>
        </w:rPr>
        <w:t>Potential Courses Where This Module Could be Utilized</w:t>
      </w:r>
    </w:p>
    <w:p w14:paraId="1B7805B2" w14:textId="77777777" w:rsidR="00F504DE" w:rsidRDefault="00F504DE" w:rsidP="00F504DE">
      <w:pPr>
        <w:pStyle w:val="NoSpacing"/>
        <w:numPr>
          <w:ilvl w:val="0"/>
          <w:numId w:val="1"/>
        </w:numPr>
      </w:pPr>
      <w:r>
        <w:t>Principles of Public Service</w:t>
      </w:r>
    </w:p>
    <w:p w14:paraId="667F3E40" w14:textId="77777777" w:rsidR="00F504DE" w:rsidRDefault="00F504DE" w:rsidP="00F504DE">
      <w:pPr>
        <w:pStyle w:val="NoSpacing"/>
        <w:numPr>
          <w:ilvl w:val="0"/>
          <w:numId w:val="1"/>
        </w:numPr>
      </w:pPr>
      <w:r>
        <w:t>Public Management and Administration</w:t>
      </w:r>
    </w:p>
    <w:p w14:paraId="3A840D1E" w14:textId="77777777" w:rsidR="00F504DE" w:rsidRDefault="00F504DE" w:rsidP="00F504DE">
      <w:pPr>
        <w:pStyle w:val="NoSpacing"/>
        <w:numPr>
          <w:ilvl w:val="0"/>
          <w:numId w:val="1"/>
        </w:numPr>
      </w:pPr>
      <w:r>
        <w:t>Introduction to Human Studies</w:t>
      </w:r>
    </w:p>
    <w:p w14:paraId="1C238289" w14:textId="77777777" w:rsidR="00FC2B58" w:rsidRPr="00362416" w:rsidRDefault="00FC2B58" w:rsidP="00FC2B58">
      <w:pPr>
        <w:pStyle w:val="NoSpacing"/>
        <w:rPr>
          <w:rStyle w:val="Hyperlink"/>
          <w:i/>
          <w:iCs/>
          <w:color w:val="auto"/>
          <w:u w:val="none"/>
        </w:rPr>
      </w:pPr>
    </w:p>
    <w:p w14:paraId="1953776C" w14:textId="13204FC1" w:rsidR="00FC2B58" w:rsidRPr="00C70288" w:rsidRDefault="00C70288" w:rsidP="00FC2B58">
      <w:pPr>
        <w:pStyle w:val="NoSpacing"/>
        <w:rPr>
          <w:rStyle w:val="Hyperlink"/>
          <w:color w:val="auto"/>
          <w:u w:val="none"/>
        </w:rPr>
      </w:pPr>
      <w:r>
        <w:rPr>
          <w:i/>
          <w:iCs/>
        </w:rPr>
        <w:t xml:space="preserve">Applicable Tennessee Education Standards </w:t>
      </w:r>
      <w:r w:rsidR="004A49A2">
        <w:rPr>
          <w:i/>
          <w:iCs/>
        </w:rPr>
        <w:t>Addressed</w:t>
      </w:r>
    </w:p>
    <w:p w14:paraId="442E9787" w14:textId="77777777" w:rsidR="0054216A" w:rsidRDefault="0054216A" w:rsidP="0054216A">
      <w:pPr>
        <w:pStyle w:val="NoSpacing"/>
        <w:numPr>
          <w:ilvl w:val="0"/>
          <w:numId w:val="4"/>
        </w:numPr>
      </w:pPr>
      <w:r>
        <w:t>Math</w:t>
      </w:r>
    </w:p>
    <w:p w14:paraId="4A780071" w14:textId="77777777" w:rsidR="0054216A" w:rsidRDefault="0054216A" w:rsidP="0054216A">
      <w:pPr>
        <w:pStyle w:val="NoSpacing"/>
        <w:numPr>
          <w:ilvl w:val="1"/>
          <w:numId w:val="4"/>
        </w:numPr>
      </w:pPr>
      <w:r>
        <w:lastRenderedPageBreak/>
        <w:t>Reason abstractly and quantitatively</w:t>
      </w:r>
    </w:p>
    <w:p w14:paraId="2614B7FA" w14:textId="60B89733" w:rsidR="0054216A" w:rsidRDefault="0054216A" w:rsidP="0054216A">
      <w:pPr>
        <w:pStyle w:val="NoSpacing"/>
        <w:numPr>
          <w:ilvl w:val="1"/>
          <w:numId w:val="4"/>
        </w:numPr>
      </w:pPr>
      <w:r>
        <w:t xml:space="preserve">Attend to precision </w:t>
      </w:r>
    </w:p>
    <w:p w14:paraId="03E2C093" w14:textId="71110016" w:rsidR="0054216A" w:rsidRDefault="0054216A" w:rsidP="0054216A">
      <w:pPr>
        <w:pStyle w:val="NoSpacing"/>
        <w:numPr>
          <w:ilvl w:val="0"/>
          <w:numId w:val="4"/>
        </w:numPr>
      </w:pPr>
      <w:r>
        <w:t>Science</w:t>
      </w:r>
    </w:p>
    <w:p w14:paraId="2D027735" w14:textId="77777777" w:rsidR="0054216A" w:rsidRDefault="0054216A" w:rsidP="0054216A">
      <w:pPr>
        <w:pStyle w:val="NoSpacing"/>
        <w:numPr>
          <w:ilvl w:val="1"/>
          <w:numId w:val="4"/>
        </w:numPr>
      </w:pPr>
      <w:r>
        <w:t>Asking questions and defining problems</w:t>
      </w:r>
    </w:p>
    <w:p w14:paraId="5911100F" w14:textId="77777777" w:rsidR="0054216A" w:rsidRDefault="0054216A" w:rsidP="0054216A">
      <w:pPr>
        <w:pStyle w:val="NoSpacing"/>
        <w:numPr>
          <w:ilvl w:val="1"/>
          <w:numId w:val="4"/>
        </w:numPr>
      </w:pPr>
      <w:r>
        <w:t>Constructing explanations and designing solutions</w:t>
      </w:r>
    </w:p>
    <w:p w14:paraId="171A7AB1" w14:textId="6E19DBC5" w:rsidR="0054216A" w:rsidRDefault="0054216A" w:rsidP="0054216A">
      <w:pPr>
        <w:pStyle w:val="NoSpacing"/>
        <w:numPr>
          <w:ilvl w:val="0"/>
          <w:numId w:val="4"/>
        </w:numPr>
      </w:pPr>
      <w:r>
        <w:t>Social Studies</w:t>
      </w:r>
    </w:p>
    <w:p w14:paraId="18B49D6D" w14:textId="33180FCF" w:rsidR="000206EA" w:rsidRDefault="0054216A" w:rsidP="000827C1">
      <w:pPr>
        <w:pStyle w:val="NoSpacing"/>
        <w:numPr>
          <w:ilvl w:val="1"/>
          <w:numId w:val="4"/>
        </w:numPr>
      </w:pPr>
      <w:r>
        <w:t>Construct and communicate arguments citing supporting evidence</w:t>
      </w:r>
    </w:p>
    <w:sectPr w:rsidR="0002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046E"/>
    <w:multiLevelType w:val="hybridMultilevel"/>
    <w:tmpl w:val="4798EBA0"/>
    <w:lvl w:ilvl="0" w:tplc="E6B40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728B"/>
    <w:multiLevelType w:val="hybridMultilevel"/>
    <w:tmpl w:val="C12E9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23E"/>
    <w:multiLevelType w:val="hybridMultilevel"/>
    <w:tmpl w:val="4E48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5683"/>
    <w:multiLevelType w:val="multilevel"/>
    <w:tmpl w:val="2DB276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D2521"/>
    <w:multiLevelType w:val="hybridMultilevel"/>
    <w:tmpl w:val="D6F616FA"/>
    <w:lvl w:ilvl="0" w:tplc="E6B40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58"/>
    <w:rsid w:val="000206EA"/>
    <w:rsid w:val="000A16DB"/>
    <w:rsid w:val="001B56F6"/>
    <w:rsid w:val="00225CB2"/>
    <w:rsid w:val="00362416"/>
    <w:rsid w:val="004A49A2"/>
    <w:rsid w:val="00506A4A"/>
    <w:rsid w:val="00535E67"/>
    <w:rsid w:val="0054216A"/>
    <w:rsid w:val="00595354"/>
    <w:rsid w:val="006A3CD9"/>
    <w:rsid w:val="00861E25"/>
    <w:rsid w:val="00932375"/>
    <w:rsid w:val="00A51DA6"/>
    <w:rsid w:val="00C50634"/>
    <w:rsid w:val="00C70288"/>
    <w:rsid w:val="00D32C69"/>
    <w:rsid w:val="00F504DE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3AC9"/>
  <w15:chartTrackingRefBased/>
  <w15:docId w15:val="{BFE1C173-9BF0-41BA-9671-A6EB4750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B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Nakra</dc:creator>
  <cp:keywords/>
  <dc:description/>
  <cp:lastModifiedBy>Nakra, Rohan</cp:lastModifiedBy>
  <cp:revision>11</cp:revision>
  <dcterms:created xsi:type="dcterms:W3CDTF">2019-07-24T20:24:00Z</dcterms:created>
  <dcterms:modified xsi:type="dcterms:W3CDTF">2020-05-22T14:54:00Z</dcterms:modified>
</cp:coreProperties>
</file>